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300" w:type="dxa"/>
        <w:tblLayout w:type="fixed"/>
        <w:tblLook w:val="0000"/>
      </w:tblPr>
      <w:tblGrid>
        <w:gridCol w:w="4502"/>
        <w:gridCol w:w="1307"/>
        <w:gridCol w:w="4491"/>
      </w:tblGrid>
      <w:tr w:rsidR="00CD56DF" w:rsidRPr="00A429F0" w:rsidTr="00CD56DF">
        <w:trPr>
          <w:cantSplit/>
          <w:trHeight w:val="1697"/>
        </w:trPr>
        <w:tc>
          <w:tcPr>
            <w:tcW w:w="4502" w:type="dxa"/>
          </w:tcPr>
          <w:p w:rsidR="00CD56DF" w:rsidRPr="00A429F0" w:rsidRDefault="00CD56DF" w:rsidP="00CD5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Ҡ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CD56DF" w:rsidRPr="00A429F0" w:rsidRDefault="00CD56DF" w:rsidP="00CD5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Ҡ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Ғ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  РАЙОНЫ</w:t>
            </w:r>
          </w:p>
          <w:p w:rsidR="00CD56DF" w:rsidRPr="00A429F0" w:rsidRDefault="00CD56DF" w:rsidP="00CD5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Ң</w:t>
            </w:r>
          </w:p>
          <w:p w:rsidR="00CD56DF" w:rsidRPr="00A429F0" w:rsidRDefault="00CD56DF" w:rsidP="00CD5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Ҙ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ЛЫ</w:t>
            </w:r>
            <w:r w:rsidRPr="00A429F0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be-BY"/>
              </w:rPr>
              <w:t>Ҡ</w:t>
            </w:r>
            <w:r w:rsidRPr="00A429F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ЫУЫШ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АУЫЛ </w:t>
            </w:r>
            <w:r w:rsidRPr="00A42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СОВЕТЫ</w:t>
            </w:r>
          </w:p>
          <w:p w:rsidR="00CD56DF" w:rsidRPr="00A429F0" w:rsidRDefault="00CD56DF" w:rsidP="00CD56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АУЫЛ  БИЛ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A429F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ӘҺ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Е ХАКИМИ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Ә</w:t>
            </w:r>
            <w:r w:rsidRPr="00A429F0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</w:p>
        </w:tc>
        <w:tc>
          <w:tcPr>
            <w:tcW w:w="1307" w:type="dxa"/>
          </w:tcPr>
          <w:p w:rsidR="00CD56DF" w:rsidRPr="00A429F0" w:rsidRDefault="00CD56DF" w:rsidP="00CD5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08585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tcBorders>
              <w:left w:val="nil"/>
            </w:tcBorders>
          </w:tcPr>
          <w:p w:rsidR="00CD56DF" w:rsidRPr="00A429F0" w:rsidRDefault="00CD56DF" w:rsidP="00CD56DF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Cs/>
                <w:i w:val="0"/>
                <w:caps/>
                <w:color w:val="auto"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CD56DF" w:rsidRPr="00A429F0" w:rsidRDefault="00CD56DF" w:rsidP="00CD56DF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proofErr w:type="spellStart"/>
            <w:r w:rsidRPr="00A429F0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Тузлукушевский</w:t>
            </w:r>
            <w:proofErr w:type="spellEnd"/>
            <w:r w:rsidRPr="00A429F0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 xml:space="preserve"> сельсовет</w:t>
            </w:r>
          </w:p>
          <w:p w:rsidR="00CD56DF" w:rsidRPr="00A429F0" w:rsidRDefault="00CD56DF" w:rsidP="00CD5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F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CD56DF" w:rsidRPr="00A429F0" w:rsidTr="00CB1E30">
        <w:trPr>
          <w:cantSplit/>
          <w:trHeight w:val="62"/>
        </w:trPr>
        <w:tc>
          <w:tcPr>
            <w:tcW w:w="10300" w:type="dxa"/>
            <w:gridSpan w:val="3"/>
            <w:tcBorders>
              <w:bottom w:val="thickThinSmallGap" w:sz="24" w:space="0" w:color="auto"/>
            </w:tcBorders>
          </w:tcPr>
          <w:p w:rsidR="00CD56DF" w:rsidRPr="00A429F0" w:rsidRDefault="00CD56DF" w:rsidP="00CD56DF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aps/>
                <w:color w:val="auto"/>
                <w:sz w:val="24"/>
                <w:szCs w:val="24"/>
              </w:rPr>
            </w:pPr>
          </w:p>
        </w:tc>
      </w:tr>
    </w:tbl>
    <w:p w:rsidR="00CD56DF" w:rsidRPr="00A429F0" w:rsidRDefault="00CD56DF" w:rsidP="00CD56D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56DF" w:rsidRPr="00A429F0" w:rsidRDefault="00CD56DF" w:rsidP="00CD56D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29F0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Pr="00A429F0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Pr="00A429F0">
        <w:rPr>
          <w:rFonts w:ascii="Times New Roman" w:hAnsi="Times New Roman" w:cs="Times New Roman"/>
          <w:bCs/>
          <w:sz w:val="28"/>
          <w:szCs w:val="28"/>
        </w:rPr>
        <w:tab/>
        <w:t xml:space="preserve">             РЕШЕНИЕ</w:t>
      </w:r>
    </w:p>
    <w:p w:rsidR="00E16BEF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16BEF" w:rsidRPr="00E16BEF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 утверждении Положения о порядке выдвижения, внесения, </w:t>
      </w:r>
    </w:p>
    <w:p w:rsidR="00E16BEF" w:rsidRPr="00E16BEF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обсуждения, рассмотрения инициативных проектов, </w:t>
      </w:r>
    </w:p>
    <w:p w:rsidR="00E16BEF" w:rsidRPr="00E16BEF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 также проведения их конкурсного отбора</w:t>
      </w:r>
    </w:p>
    <w:p w:rsidR="00E16BEF" w:rsidRPr="00E16BEF" w:rsidRDefault="00E16BEF" w:rsidP="00E16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6BEF" w:rsidRPr="00E16BEF" w:rsidRDefault="00E16BEF" w:rsidP="00E16B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2C4A9D">
        <w:rPr>
          <w:rFonts w:ascii="Times New Roman" w:eastAsia="Calibri" w:hAnsi="Times New Roman" w:cs="Times New Roman"/>
          <w:sz w:val="28"/>
          <w:szCs w:val="28"/>
          <w:lang w:eastAsia="ru-RU"/>
        </w:rPr>
        <w:t>Тузлукушевский</w:t>
      </w:r>
      <w:proofErr w:type="spell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Чекмагушевский</w:t>
      </w: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E16BEF" w:rsidRPr="00E16BEF" w:rsidRDefault="00E16BEF" w:rsidP="00E16B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Положение о порядке выдвижения, внесения, обсуждения, рассмотрения инициативных проектов, а также проведения их конкурсного отбора, согласно приложению к настоящему решению.</w:t>
      </w:r>
    </w:p>
    <w:p w:rsidR="002C4A9D" w:rsidRDefault="00E16BEF" w:rsidP="00E16B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="002C4A9D">
        <w:rPr>
          <w:rFonts w:ascii="Times New Roman" w:eastAsia="Calibri" w:hAnsi="Times New Roman" w:cs="Times New Roman"/>
          <w:sz w:val="28"/>
          <w:szCs w:val="28"/>
          <w:lang w:eastAsia="ru-RU"/>
        </w:rPr>
        <w:t>Тузлукушевский</w:t>
      </w:r>
      <w:proofErr w:type="spell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Чекмагушевский</w:t>
      </w: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Чекмагушевский</w:t>
      </w: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с.</w:t>
      </w:r>
      <w:r w:rsidR="002C4A9D">
        <w:rPr>
          <w:rFonts w:ascii="Times New Roman" w:eastAsia="Calibri" w:hAnsi="Times New Roman" w:cs="Times New Roman"/>
          <w:sz w:val="28"/>
          <w:szCs w:val="28"/>
          <w:lang w:eastAsia="ru-RU"/>
        </w:rPr>
        <w:t>Тузлукушево</w:t>
      </w: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 </w:t>
      </w:r>
      <w:r w:rsidR="002C4A9D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Центральная</w:t>
      </w: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C4A9D">
        <w:rPr>
          <w:rFonts w:ascii="Times New Roman" w:eastAsia="Calibri" w:hAnsi="Times New Roman" w:cs="Times New Roman"/>
          <w:sz w:val="28"/>
          <w:szCs w:val="28"/>
          <w:lang w:eastAsia="ru-RU"/>
        </w:rPr>
        <w:t>73</w:t>
      </w:r>
    </w:p>
    <w:p w:rsidR="00E16BEF" w:rsidRPr="00E16BEF" w:rsidRDefault="00E16BEF" w:rsidP="00E16B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официальном сайте сельского поселения.</w:t>
      </w:r>
    </w:p>
    <w:p w:rsidR="00E16BEF" w:rsidRPr="00E16BEF" w:rsidRDefault="00E16BEF" w:rsidP="00E16B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обнародования.</w:t>
      </w:r>
    </w:p>
    <w:p w:rsidR="00E16BEF" w:rsidRPr="00E16BEF" w:rsidRDefault="00E16BEF" w:rsidP="00E16BEF">
      <w:pPr>
        <w:widowControl w:val="0"/>
        <w:spacing w:after="0" w:line="240" w:lineRule="auto"/>
        <w:ind w:right="-9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F" w:rsidRPr="00E16BEF" w:rsidRDefault="00E16BEF" w:rsidP="00E16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F" w:rsidRPr="00E16BEF" w:rsidRDefault="00E16BEF" w:rsidP="00E16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F" w:rsidRDefault="00E16BEF" w:rsidP="00E16BEF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F" w:rsidRPr="00425F79" w:rsidRDefault="003E37ED" w:rsidP="00E16BEF">
      <w:pPr>
        <w:tabs>
          <w:tab w:val="left" w:pos="111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Глава сельского поселения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Р.К.Валиахметов</w:t>
      </w:r>
      <w:proofErr w:type="spellEnd"/>
    </w:p>
    <w:p w:rsidR="00E16BEF" w:rsidRPr="00425F79" w:rsidRDefault="00E16BEF" w:rsidP="00E16B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16BEF" w:rsidRPr="00425F79" w:rsidRDefault="00E16BEF" w:rsidP="00E16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3E37ED">
        <w:rPr>
          <w:rFonts w:ascii="Times New Roman" w:eastAsia="Calibri" w:hAnsi="Times New Roman" w:cs="Times New Roman"/>
          <w:sz w:val="28"/>
          <w:szCs w:val="28"/>
        </w:rPr>
        <w:t>Тузлукушево</w:t>
      </w:r>
      <w:proofErr w:type="spellEnd"/>
    </w:p>
    <w:p w:rsidR="00E16BEF" w:rsidRPr="00425F79" w:rsidRDefault="003E37ED" w:rsidP="00E16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"09" ноября </w:t>
      </w:r>
      <w:r w:rsidR="00E16BEF" w:rsidRPr="00425F7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16BEF">
        <w:rPr>
          <w:rFonts w:ascii="Times New Roman" w:eastAsia="Calibri" w:hAnsi="Times New Roman" w:cs="Times New Roman"/>
          <w:sz w:val="28"/>
          <w:szCs w:val="28"/>
        </w:rPr>
        <w:t>1</w:t>
      </w:r>
      <w:r w:rsidR="00E16BEF" w:rsidRPr="00425F7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16BEF" w:rsidRPr="00425F79" w:rsidRDefault="00E16BEF" w:rsidP="00E16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>№</w:t>
      </w:r>
      <w:r w:rsidR="002C5A07">
        <w:rPr>
          <w:rFonts w:ascii="Times New Roman" w:eastAsia="Calibri" w:hAnsi="Times New Roman" w:cs="Times New Roman"/>
          <w:sz w:val="28"/>
          <w:szCs w:val="28"/>
        </w:rPr>
        <w:t xml:space="preserve"> 116</w:t>
      </w: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к решению Совета 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>сельского поселения</w:t>
      </w:r>
    </w:p>
    <w:p w:rsidR="00E16BEF" w:rsidRPr="00E16BEF" w:rsidRDefault="002C4A9D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Тузлукушевский</w:t>
      </w:r>
      <w:proofErr w:type="spellEnd"/>
      <w:r w:rsidR="00E16BEF" w:rsidRPr="00E16BEF">
        <w:rPr>
          <w:rFonts w:ascii="Times New Roman" w:eastAsia="Times New Roman" w:hAnsi="Times New Roman" w:cs="Times New Roman"/>
          <w:bCs/>
          <w:lang w:eastAsia="ru-RU"/>
        </w:rPr>
        <w:t xml:space="preserve"> сельсовет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района 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Чекмагушевский</w:t>
      </w: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 район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>Республики Башкортостан</w:t>
      </w:r>
    </w:p>
    <w:p w:rsidR="00E16BEF" w:rsidRPr="00E16BEF" w:rsidRDefault="00E16BEF" w:rsidP="00E16B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3E37ED">
        <w:rPr>
          <w:rFonts w:ascii="Times New Roman" w:eastAsia="Times New Roman" w:hAnsi="Times New Roman" w:cs="Times New Roman"/>
          <w:lang w:eastAsia="ru-RU"/>
        </w:rPr>
        <w:t>09 ноября</w:t>
      </w:r>
      <w:r w:rsidRPr="00E16BEF">
        <w:rPr>
          <w:rFonts w:ascii="Times New Roman" w:eastAsia="Times New Roman" w:hAnsi="Times New Roman" w:cs="Times New Roman"/>
          <w:lang w:eastAsia="ru-RU"/>
        </w:rPr>
        <w:t xml:space="preserve"> 2021 года </w:t>
      </w: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r w:rsidR="002C5A07">
        <w:rPr>
          <w:rFonts w:ascii="Times New Roman" w:eastAsia="Times New Roman" w:hAnsi="Times New Roman" w:cs="Times New Roman"/>
          <w:bCs/>
          <w:lang w:eastAsia="ru-RU"/>
        </w:rPr>
        <w:t>116</w:t>
      </w: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ПОЛОЖЕНИЕ</w:t>
      </w:r>
    </w:p>
    <w:p w:rsidR="00E16BEF" w:rsidRPr="00E16BEF" w:rsidRDefault="00E16BEF" w:rsidP="00E16BE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 ПОРЯДКЕ ВЫДВИЖЕНИЯ, ВНЕСЕНИЯ, ОБСУЖДЕНИЯ,</w:t>
      </w:r>
    </w:p>
    <w:p w:rsidR="00E16BEF" w:rsidRPr="00E16BEF" w:rsidRDefault="00E16BEF" w:rsidP="00E16BEF">
      <w:pPr>
        <w:widowControl w:val="0"/>
        <w:spacing w:after="346"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РАССМОТРЕНИЯ ИНИЦИАТИВНЫХ ПРОЕКТОВ, А ТАКЖЕ ПРОВЕДЕНИЯ ИХ КОНКУРСНОГО ОТБОРА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306" w:line="260" w:lineRule="exact"/>
        <w:ind w:left="669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 Общие положения</w:t>
      </w:r>
    </w:p>
    <w:p w:rsidR="00E16BEF" w:rsidRPr="00E16BEF" w:rsidRDefault="00E16BEF" w:rsidP="00E16BEF">
      <w:pPr>
        <w:widowControl w:val="0"/>
        <w:numPr>
          <w:ilvl w:val="1"/>
          <w:numId w:val="3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numPr>
          <w:ilvl w:val="1"/>
          <w:numId w:val="3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E16BEF" w:rsidRPr="00E16BEF" w:rsidRDefault="00E16BEF" w:rsidP="00E16BEF">
      <w:pPr>
        <w:widowControl w:val="0"/>
        <w:numPr>
          <w:ilvl w:val="6"/>
          <w:numId w:val="3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1.3. Организатором конкурсного отбора инициативных проектов на территории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является администрация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</w:t>
      </w: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.</w:t>
      </w:r>
    </w:p>
    <w:p w:rsidR="00E16BEF" w:rsidRPr="00E16BEF" w:rsidRDefault="00E16BEF" w:rsidP="00E16BEF">
      <w:pPr>
        <w:widowControl w:val="0"/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E16BEF" w:rsidRPr="00E16BEF" w:rsidRDefault="00E16BEF" w:rsidP="00E16BEF">
      <w:pPr>
        <w:widowControl w:val="0"/>
        <w:numPr>
          <w:ilvl w:val="2"/>
          <w:numId w:val="3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осуществляется администрацией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E16BEF" w:rsidRPr="00E16BEF" w:rsidRDefault="00E16BEF" w:rsidP="00E16BEF">
      <w:pPr>
        <w:widowControl w:val="0"/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1.6. Инициативный проект реализуется за счет средств местного бюджета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Башкортостан, в том числе инициативных платежей, средств граждан,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в соответствии с Бюджетным кодексом Российской Федерации.</w:t>
      </w:r>
    </w:p>
    <w:p w:rsidR="00E16BEF" w:rsidRPr="00E16BEF" w:rsidRDefault="00E16BEF" w:rsidP="00E16BEF">
      <w:pPr>
        <w:widowControl w:val="0"/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1.7. Бюджетные ассигнования на реализацию инициативных проектов предусматриваются в бюджете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2C5A07" w:rsidRDefault="00E16BEF" w:rsidP="00E16BEF">
      <w:pPr>
        <w:widowControl w:val="0"/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  <w:r w:rsidRPr="002C5A07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>1.8. Объем бюджетных ассигнований на поддержку одного инициативного проекта из муниципального бюджета не должен превышать 2 000 000  рублей.</w:t>
      </w:r>
    </w:p>
    <w:p w:rsidR="00E16BEF" w:rsidRPr="00E16BEF" w:rsidRDefault="00E16BEF" w:rsidP="00E16BEF">
      <w:pPr>
        <w:widowControl w:val="0"/>
        <w:tabs>
          <w:tab w:val="left" w:pos="2741"/>
        </w:tabs>
        <w:spacing w:after="257" w:line="260" w:lineRule="exact"/>
        <w:ind w:left="302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tabs>
          <w:tab w:val="left" w:pos="2741"/>
        </w:tabs>
        <w:spacing w:after="257" w:line="260" w:lineRule="exact"/>
        <w:ind w:left="302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 Выдвижение инициативных проектов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2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 инициативой о внесении инициативного проекта вправе выступить: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-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-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органы территориального общественного самоуправления муниципального образования; 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-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старост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ы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населенн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ых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пункт</w:t>
      </w:r>
      <w:r w:rsidR="002C5A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ов с.Тузлукушево , с. </w:t>
      </w:r>
      <w:proofErr w:type="spellStart"/>
      <w:r w:rsidR="002C5A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Сыйрышбашево</w:t>
      </w:r>
      <w:proofErr w:type="spellEnd"/>
      <w:r w:rsidR="002C5A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proofErr w:type="spellStart"/>
      <w:r w:rsidR="002C5A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с.Таскаклы</w:t>
      </w:r>
      <w:proofErr w:type="spellEnd"/>
      <w:r w:rsidR="002C5A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с. Каргалы, </w:t>
      </w:r>
      <w:proofErr w:type="spellStart"/>
      <w:r w:rsidR="002C5A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с.Каразириково</w:t>
      </w:r>
      <w:proofErr w:type="spellEnd"/>
      <w:r w:rsidR="002C5A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proofErr w:type="spellStart"/>
      <w:r w:rsidR="002C5A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д.Кашаково</w:t>
      </w:r>
      <w:proofErr w:type="spellEnd"/>
      <w:r w:rsidR="002C5A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proofErr w:type="spellStart"/>
      <w:r w:rsidR="002C5A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д.Чуртандашево</w:t>
      </w:r>
      <w:proofErr w:type="spellEnd"/>
      <w:r w:rsidR="002C5A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proofErr w:type="spellStart"/>
      <w:r w:rsidR="002C5A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д.Новокаразириково</w:t>
      </w:r>
      <w:proofErr w:type="spellEnd"/>
      <w:r w:rsidR="002C5A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(далее также - инициаторы проекта).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2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Инициативный проект должен содержать следующие сведения: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описание проблемы, решение которой имеет приоритетное значение для жителей муниципального образования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или его части;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обоснование предложений по решению указанной проблемы;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описание ожидаемого результата (ожидаемых результатов) реализации инициативного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предварительный расчет необходимых расходов на реализацию инициативного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планируемые сроки реализации инициативного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2.3.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целесообразности реализации инициативного проекта или поддержан подписями не менее </w:t>
      </w:r>
      <w:r w:rsidRPr="002C5A07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>чем _____ граждан</w:t>
      </w:r>
      <w:r w:rsidRPr="002C5A0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этом возможно рассмотрение нескольких инициативных проектов на одном собрании граждан.</w:t>
      </w:r>
    </w:p>
    <w:p w:rsidR="00E16BEF" w:rsidRPr="00E16BEF" w:rsidRDefault="00E16BEF" w:rsidP="00E16BEF">
      <w:pPr>
        <w:widowControl w:val="0"/>
        <w:spacing w:after="288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16BEF" w:rsidRPr="00E16BEF" w:rsidRDefault="00E16BEF" w:rsidP="00E16BEF">
      <w:pPr>
        <w:widowControl w:val="0"/>
        <w:spacing w:after="288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tabs>
          <w:tab w:val="left" w:pos="1709"/>
        </w:tabs>
        <w:spacing w:after="314" w:line="260" w:lineRule="exact"/>
        <w:ind w:left="1059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 Обсуждение и рассмотрение инициативных проектов</w:t>
      </w:r>
    </w:p>
    <w:p w:rsidR="00E16BEF" w:rsidRPr="00691666" w:rsidRDefault="00691666" w:rsidP="00691666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3.1. </w:t>
      </w:r>
      <w:r w:rsidR="00E16BEF"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="00E16BEF"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Чекмагушевский район Республике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E16BEF" w:rsidRPr="00E16BEF" w:rsidRDefault="00E16BEF" w:rsidP="00E16BEF">
      <w:pPr>
        <w:widowControl w:val="0"/>
        <w:spacing w:after="0"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E16BEF" w:rsidRPr="00E16BEF" w:rsidRDefault="00691666" w:rsidP="00691666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3.2. </w:t>
      </w:r>
      <w:r w:rsidR="00E16BEF"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="00E16BEF"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 w:rsid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="00E16BEF"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691666" w:rsidRDefault="00E16BEF" w:rsidP="00691666">
      <w:pPr>
        <w:pStyle w:val="a3"/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E16BEF" w:rsidRPr="00691666" w:rsidRDefault="00E16BEF" w:rsidP="00691666">
      <w:pPr>
        <w:pStyle w:val="a3"/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E16BEF" w:rsidRPr="00691666" w:rsidRDefault="00E16BEF" w:rsidP="00691666">
      <w:pPr>
        <w:pStyle w:val="a3"/>
        <w:widowControl w:val="0"/>
        <w:numPr>
          <w:ilvl w:val="0"/>
          <w:numId w:val="14"/>
        </w:numPr>
        <w:tabs>
          <w:tab w:val="left" w:pos="1172"/>
        </w:tabs>
        <w:spacing w:after="303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0" w:name="_GoBack"/>
      <w:bookmarkEnd w:id="0"/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Внесение инициативных проектов в местную администрацию</w:t>
      </w:r>
    </w:p>
    <w:p w:rsidR="00E16BEF" w:rsidRPr="00E16BEF" w:rsidRDefault="00E16BEF" w:rsidP="00691666">
      <w:pPr>
        <w:widowControl w:val="0"/>
        <w:numPr>
          <w:ilvl w:val="1"/>
          <w:numId w:val="14"/>
        </w:numPr>
        <w:spacing w:after="0" w:line="324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E16BEF" w:rsidRPr="00E16BEF" w:rsidRDefault="00E16BEF" w:rsidP="00691666">
      <w:pPr>
        <w:widowControl w:val="0"/>
        <w:numPr>
          <w:ilvl w:val="1"/>
          <w:numId w:val="14"/>
        </w:numPr>
        <w:spacing w:after="0" w:line="324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E16BEF" w:rsidRPr="00E16BEF" w:rsidRDefault="00E16BEF" w:rsidP="00691666">
      <w:pPr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E16BEF" w:rsidRPr="00691666" w:rsidRDefault="00E16BEF" w:rsidP="00691666">
      <w:pPr>
        <w:pStyle w:val="a3"/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несоблюдение установленного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пп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несоответствие инициативного проекта требованиям законодательства;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невозможность реализации инициативного проекта ввиду отсутствия у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необходимых полномочий и прав;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наличие возможности решения описанной в инициативном проекте проблемы более эффективным способом;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30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признание инициативного проекта не прошедшим конкурсный отбор.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0" w:line="320" w:lineRule="exact"/>
        <w:ind w:right="2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5. Проведение собрания граждан по конкурсному отбору 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0" w:line="320" w:lineRule="exact"/>
        <w:ind w:right="2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инициативных проектов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0" w:line="320" w:lineRule="exact"/>
        <w:ind w:left="669" w:right="2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spacing w:after="0" w:line="324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E16BEF" w:rsidRPr="00E16BEF" w:rsidRDefault="00E16BEF" w:rsidP="00E16BEF">
      <w:pPr>
        <w:widowControl w:val="0"/>
        <w:spacing w:after="0" w:line="324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5.2. Собрание граждан проводится в сроки, установленные администрацией муниципального образования.</w:t>
      </w:r>
    </w:p>
    <w:p w:rsidR="00E16BEF" w:rsidRPr="00E16BEF" w:rsidRDefault="00E16BEF" w:rsidP="00E16BEF">
      <w:pPr>
        <w:widowControl w:val="0"/>
        <w:spacing w:after="0" w:line="324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5.3. В голосовании по инициативным проектам вправе принимать участие жители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E16BEF" w:rsidRPr="00E16BEF" w:rsidRDefault="00E16BEF" w:rsidP="00E16BEF">
      <w:pPr>
        <w:widowControl w:val="0"/>
        <w:spacing w:after="0" w:line="324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E16BEF" w:rsidRPr="00E16BEF" w:rsidRDefault="00E16BEF" w:rsidP="00E16BEF">
      <w:pPr>
        <w:widowControl w:val="0"/>
        <w:spacing w:after="0" w:line="324" w:lineRule="exact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tabs>
          <w:tab w:val="left" w:pos="130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 Утверждение инициативных проектов в целях их реализации</w:t>
      </w:r>
    </w:p>
    <w:p w:rsidR="00E16BEF" w:rsidRPr="00E16BEF" w:rsidRDefault="00E16BEF" w:rsidP="00E16BEF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6.1. Для утверждения результатов конкурсного отбора инициативных проектов администрацией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образуется конкурсная комиссия.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6.2. Персональный состав конкурсной комиссии утверждается администрацией муниципального образования.</w:t>
      </w:r>
    </w:p>
    <w:p w:rsidR="00E16BEF" w:rsidRPr="00E16BEF" w:rsidRDefault="00E16BEF" w:rsidP="00E16BEF">
      <w:pPr>
        <w:widowControl w:val="0"/>
        <w:spacing w:after="0" w:line="320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spacing w:after="0"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E16BEF" w:rsidRPr="00E16BEF" w:rsidRDefault="00E16BEF" w:rsidP="00E16BEF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конкурсному отбору инициативных проектов и подготовка соответствующего муниципального акта.</w:t>
      </w:r>
    </w:p>
    <w:p w:rsidR="00E16BEF" w:rsidRPr="00E16BEF" w:rsidRDefault="00E16BEF" w:rsidP="00E16BEF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Председатель конкурсной комиссии: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организует работу конкурсной комиссии, руководит деятельностью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формирует проект повестки очередного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дает поручения членам конкурсной комиссии в рамках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председательствует на заседаниях конкурсной комиссии.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Секретарь конкурсной комиссии:</w:t>
      </w:r>
    </w:p>
    <w:p w:rsidR="00E16BEF" w:rsidRPr="00E16BEF" w:rsidRDefault="00E16BEF" w:rsidP="00E16BEF">
      <w:pPr>
        <w:widowControl w:val="0"/>
        <w:numPr>
          <w:ilvl w:val="0"/>
          <w:numId w:val="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оформляет протоколы заседаний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Член конкурсной комиссии: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участвует в работе конкурсной комиссии, в том числе в заседаниях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вносит предложения по вопросам работы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знакомится с документами и материалами, рассматриваемыми на заседаниях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голосует на заседаниях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E16BEF" w:rsidRPr="00E16BEF" w:rsidRDefault="00E16BEF" w:rsidP="00E16BEF">
      <w:pPr>
        <w:widowControl w:val="0"/>
        <w:spacing w:after="0" w:line="320" w:lineRule="exact"/>
        <w:ind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Члены конкурсной комиссии обладают равными правами при обсуждении вопросов о принятии решений.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Заседание конкурсной комиссии проводится в течение трех рабочих дней после проведения собрания граждан.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Протокол заседания конкурсной комиссии должен содержать следующие данные: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время, дату и место проведения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фамилии и инициалы членов конкурсной комиссии и приглашенных на заседание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6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результаты голосования по каждому из включенных в список для голосования инициативных проектов;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6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инициативные проекты, прошедшие конкурсный отбор и подлежащие финансированию из местного бюджета.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дня проведения заседания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348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Чекмагушевский район Республике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Чекмагушевский район Республике Башкортостан на очередной финансовый год (на очередной финансовый год и плановый период), на реализацию инициативных проектов.</w:t>
      </w:r>
    </w:p>
    <w:p w:rsidR="00E16BEF" w:rsidRPr="00E16BEF" w:rsidRDefault="00E16BEF" w:rsidP="00E16BEF">
      <w:pPr>
        <w:widowControl w:val="0"/>
        <w:numPr>
          <w:ilvl w:val="0"/>
          <w:numId w:val="11"/>
        </w:numPr>
        <w:tabs>
          <w:tab w:val="left" w:pos="758"/>
        </w:tabs>
        <w:spacing w:after="286" w:line="260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Участие инициаторов проекта в реализации инициативных проектов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8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8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E16BEF" w:rsidRPr="00E16BEF" w:rsidRDefault="00E16BEF" w:rsidP="00E16BEF">
      <w:pPr>
        <w:widowControl w:val="0"/>
        <w:spacing w:after="0" w:line="320" w:lineRule="exact"/>
        <w:ind w:righ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Средства инициаторов проекта (инициативные платежи) вносятся на счет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Чекмагушевский район Республике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proofErr w:type="spellStart"/>
      <w:r w:rsidR="002C4A9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Тузлукушевский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Чекмагушевский район Республике Башкортостан в течение 30 календарных дней со дня завершения реализации инициативного проекта.</w:t>
      </w:r>
    </w:p>
    <w:p w:rsidR="002F409E" w:rsidRDefault="002F409E"/>
    <w:sectPr w:rsidR="002F409E" w:rsidSect="00CD56DF">
      <w:pgSz w:w="11906" w:h="16838"/>
      <w:pgMar w:top="426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476"/>
    <w:multiLevelType w:val="multilevel"/>
    <w:tmpl w:val="AC2A6E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E25B6"/>
    <w:multiLevelType w:val="multilevel"/>
    <w:tmpl w:val="CD5E42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E4E9E"/>
    <w:multiLevelType w:val="multilevel"/>
    <w:tmpl w:val="914ECF7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9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92460"/>
    <w:multiLevelType w:val="multilevel"/>
    <w:tmpl w:val="546E6A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1">
    <w:nsid w:val="6CF11BB5"/>
    <w:multiLevelType w:val="multilevel"/>
    <w:tmpl w:val="382E8D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EF360E"/>
    <w:multiLevelType w:val="multilevel"/>
    <w:tmpl w:val="DC6460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779A"/>
    <w:rsid w:val="002C4A9D"/>
    <w:rsid w:val="002C5A07"/>
    <w:rsid w:val="002F409E"/>
    <w:rsid w:val="003216C9"/>
    <w:rsid w:val="003E37ED"/>
    <w:rsid w:val="004547C0"/>
    <w:rsid w:val="00691666"/>
    <w:rsid w:val="007F5BE7"/>
    <w:rsid w:val="00CD56DF"/>
    <w:rsid w:val="00D230F4"/>
    <w:rsid w:val="00E16BEF"/>
    <w:rsid w:val="00E5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C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6D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6DF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D56DF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56DF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6</cp:revision>
  <dcterms:created xsi:type="dcterms:W3CDTF">2021-11-03T09:25:00Z</dcterms:created>
  <dcterms:modified xsi:type="dcterms:W3CDTF">2021-11-08T11:25:00Z</dcterms:modified>
</cp:coreProperties>
</file>