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1144E3" w:rsidRPr="001144E3">
        <w:rPr>
          <w:rFonts w:ascii="Times New Roman" w:eastAsia="Times New Roman" w:hAnsi="Times New Roman" w:cs="Times New Roman"/>
          <w:b/>
          <w:sz w:val="24"/>
          <w:szCs w:val="24"/>
          <w:lang w:eastAsia="ru-RU"/>
        </w:rPr>
        <w:t>19</w:t>
      </w:r>
      <w:r w:rsidR="00FF1AF9" w:rsidRPr="001144E3">
        <w:rPr>
          <w:rFonts w:ascii="Times New Roman" w:eastAsia="Times New Roman" w:hAnsi="Times New Roman" w:cs="Times New Roman"/>
          <w:b/>
          <w:sz w:val="24"/>
          <w:szCs w:val="24"/>
          <w:lang w:eastAsia="ru-RU"/>
        </w:rPr>
        <w:t xml:space="preserve"> </w:t>
      </w:r>
      <w:r w:rsidR="001144E3">
        <w:rPr>
          <w:rFonts w:ascii="Times New Roman" w:eastAsia="Times New Roman" w:hAnsi="Times New Roman" w:cs="Times New Roman"/>
          <w:b/>
          <w:sz w:val="24"/>
          <w:szCs w:val="24"/>
          <w:lang w:eastAsia="ru-RU"/>
        </w:rPr>
        <w:t>января 2021</w:t>
      </w:r>
      <w:r w:rsidR="00FF1AF9" w:rsidRPr="007341BB">
        <w:rPr>
          <w:rFonts w:ascii="Times New Roman" w:eastAsia="Times New Roman" w:hAnsi="Times New Roman" w:cs="Times New Roman"/>
          <w:b/>
          <w:sz w:val="24"/>
          <w:szCs w:val="24"/>
          <w:lang w:eastAsia="ru-RU"/>
        </w:rPr>
        <w:t xml:space="preserve"> года в 11.00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300BED">
        <w:rPr>
          <w:rFonts w:ascii="Times New Roman" w:eastAsia="Times New Roman" w:hAnsi="Times New Roman" w:cs="Times New Roman"/>
          <w:sz w:val="24"/>
          <w:szCs w:val="24"/>
          <w:lang w:eastAsia="ru-RU"/>
        </w:rPr>
        <w:t>280</w:t>
      </w:r>
      <w:r w:rsidR="00247958">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300BED">
        <w:rPr>
          <w:rFonts w:ascii="Times New Roman" w:eastAsia="Times New Roman" w:hAnsi="Times New Roman" w:cs="Times New Roman"/>
          <w:sz w:val="24"/>
          <w:szCs w:val="24"/>
          <w:lang w:eastAsia="ru-RU"/>
        </w:rPr>
        <w:t>12</w:t>
      </w:r>
      <w:r w:rsidR="00FF1AF9" w:rsidRPr="007341BB">
        <w:rPr>
          <w:rFonts w:ascii="Times New Roman" w:eastAsia="Times New Roman" w:hAnsi="Times New Roman" w:cs="Times New Roman"/>
          <w:sz w:val="24"/>
          <w:szCs w:val="24"/>
          <w:lang w:eastAsia="ru-RU"/>
        </w:rPr>
        <w:t xml:space="preserve"> </w:t>
      </w:r>
      <w:r w:rsidR="00300BED">
        <w:rPr>
          <w:rFonts w:ascii="Times New Roman" w:eastAsia="Times New Roman" w:hAnsi="Times New Roman" w:cs="Times New Roman"/>
          <w:sz w:val="24"/>
          <w:szCs w:val="24"/>
          <w:lang w:eastAsia="ru-RU"/>
        </w:rPr>
        <w:t>мая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СП  </w:t>
      </w:r>
      <w:proofErr w:type="spellStart"/>
      <w:r w:rsidR="00300BED">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кадастровый номер 02:51:</w:t>
      </w:r>
      <w:r w:rsidR="00300BED">
        <w:rPr>
          <w:rFonts w:ascii="Times New Roman" w:eastAsia="Times New Roman" w:hAnsi="Times New Roman" w:cs="Times New Roman"/>
          <w:sz w:val="24"/>
          <w:szCs w:val="24"/>
          <w:lang w:eastAsia="ru-RU"/>
        </w:rPr>
        <w:t>020701:129</w:t>
      </w:r>
      <w:r w:rsidRPr="007341BB">
        <w:rPr>
          <w:rFonts w:ascii="Times New Roman" w:eastAsia="Times New Roman" w:hAnsi="Times New Roman" w:cs="Times New Roman"/>
          <w:sz w:val="24"/>
          <w:szCs w:val="24"/>
          <w:lang w:eastAsia="ru-RU"/>
        </w:rPr>
        <w:t xml:space="preserve"> площадь </w:t>
      </w:r>
      <w:r w:rsidR="00300BED">
        <w:rPr>
          <w:rFonts w:ascii="Times New Roman" w:eastAsia="Times New Roman" w:hAnsi="Times New Roman" w:cs="Times New Roman"/>
          <w:sz w:val="24"/>
          <w:szCs w:val="24"/>
          <w:lang w:eastAsia="ru-RU"/>
        </w:rPr>
        <w:t xml:space="preserve">611853 </w:t>
      </w:r>
      <w:r w:rsidRPr="007341BB">
        <w:rPr>
          <w:rFonts w:ascii="Times New Roman" w:eastAsia="Times New Roman" w:hAnsi="Times New Roman" w:cs="Times New Roman"/>
          <w:sz w:val="24"/>
          <w:szCs w:val="24"/>
          <w:lang w:eastAsia="ru-RU"/>
        </w:rPr>
        <w:t xml:space="preserve">кв. м., разрешенное использование: </w:t>
      </w:r>
      <w:r w:rsidR="008E4849">
        <w:rPr>
          <w:rFonts w:ascii="Times New Roman" w:eastAsia="Times New Roman" w:hAnsi="Times New Roman" w:cs="Times New Roman"/>
          <w:sz w:val="24"/>
          <w:szCs w:val="24"/>
          <w:lang w:eastAsia="ru-RU"/>
        </w:rPr>
        <w:t>сельскохозяйственно</w:t>
      </w:r>
      <w:r w:rsidR="00300BED">
        <w:rPr>
          <w:rFonts w:ascii="Times New Roman" w:eastAsia="Times New Roman" w:hAnsi="Times New Roman" w:cs="Times New Roman"/>
          <w:sz w:val="24"/>
          <w:szCs w:val="24"/>
          <w:lang w:eastAsia="ru-RU"/>
        </w:rPr>
        <w:t>е</w:t>
      </w:r>
      <w:r w:rsidR="00461BD9">
        <w:rPr>
          <w:rFonts w:ascii="Times New Roman" w:eastAsia="Times New Roman" w:hAnsi="Times New Roman" w:cs="Times New Roman"/>
          <w:sz w:val="24"/>
          <w:szCs w:val="24"/>
          <w:lang w:eastAsia="ru-RU"/>
        </w:rPr>
        <w:t xml:space="preserve"> </w:t>
      </w:r>
      <w:r w:rsidR="00300BED">
        <w:rPr>
          <w:rFonts w:ascii="Times New Roman" w:eastAsia="Times New Roman" w:hAnsi="Times New Roman" w:cs="Times New Roman"/>
          <w:sz w:val="24"/>
          <w:szCs w:val="24"/>
          <w:lang w:eastAsia="ru-RU"/>
        </w:rPr>
        <w:t>использование</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300BED">
        <w:rPr>
          <w:rFonts w:ascii="Times New Roman" w:eastAsia="Times New Roman" w:hAnsi="Times New Roman" w:cs="Times New Roman"/>
          <w:sz w:val="24"/>
          <w:szCs w:val="24"/>
          <w:lang w:eastAsia="ru-RU"/>
        </w:rPr>
        <w:t xml:space="preserve"> 49600</w:t>
      </w:r>
      <w:r w:rsidRPr="007341BB">
        <w:rPr>
          <w:rFonts w:ascii="Times New Roman" w:eastAsia="Times New Roman" w:hAnsi="Times New Roman" w:cs="Times New Roman"/>
          <w:sz w:val="24"/>
          <w:szCs w:val="24"/>
          <w:lang w:eastAsia="ru-RU"/>
        </w:rPr>
        <w:t>(</w:t>
      </w:r>
      <w:r w:rsidR="00300BED">
        <w:rPr>
          <w:rFonts w:ascii="Times New Roman" w:eastAsia="Times New Roman" w:hAnsi="Times New Roman" w:cs="Times New Roman"/>
          <w:sz w:val="24"/>
          <w:szCs w:val="24"/>
          <w:lang w:eastAsia="ru-RU"/>
        </w:rPr>
        <w:t>сорок девять тысяч шестьсот</w:t>
      </w:r>
      <w:r w:rsidR="00247958">
        <w:rPr>
          <w:rFonts w:ascii="Times New Roman" w:eastAsia="Times New Roman" w:hAnsi="Times New Roman" w:cs="Times New Roman"/>
          <w:sz w:val="24"/>
          <w:szCs w:val="24"/>
          <w:lang w:eastAsia="ru-RU"/>
        </w:rPr>
        <w:t>)</w:t>
      </w:r>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300BED">
        <w:rPr>
          <w:rFonts w:ascii="Times New Roman" w:eastAsia="Times New Roman" w:hAnsi="Times New Roman" w:cs="Times New Roman"/>
          <w:sz w:val="24"/>
          <w:szCs w:val="24"/>
          <w:lang w:eastAsia="ru-RU"/>
        </w:rPr>
        <w:t>1488</w:t>
      </w:r>
      <w:r w:rsidRPr="007341BB">
        <w:rPr>
          <w:rFonts w:ascii="Times New Roman" w:eastAsia="Times New Roman" w:hAnsi="Times New Roman" w:cs="Times New Roman"/>
          <w:sz w:val="24"/>
          <w:szCs w:val="24"/>
          <w:lang w:eastAsia="ru-RU"/>
        </w:rPr>
        <w:t>,00 (</w:t>
      </w:r>
      <w:r w:rsidR="00300BED">
        <w:rPr>
          <w:rFonts w:ascii="Times New Roman" w:eastAsia="Times New Roman" w:hAnsi="Times New Roman" w:cs="Times New Roman"/>
          <w:sz w:val="24"/>
          <w:szCs w:val="24"/>
          <w:lang w:eastAsia="ru-RU"/>
        </w:rPr>
        <w:t>одна тысяча четыреста восемьдесят восемь</w:t>
      </w:r>
      <w:r w:rsidRPr="007341BB">
        <w:rPr>
          <w:rFonts w:ascii="Times New Roman" w:eastAsia="Times New Roman" w:hAnsi="Times New Roman" w:cs="Times New Roman"/>
          <w:sz w:val="24"/>
          <w:szCs w:val="24"/>
          <w:lang w:eastAsia="ru-RU"/>
        </w:rPr>
        <w:t>) рубл</w:t>
      </w:r>
      <w:r w:rsidR="00300BE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300BED">
        <w:rPr>
          <w:rFonts w:ascii="Times New Roman" w:eastAsia="Times New Roman" w:hAnsi="Times New Roman" w:cs="Times New Roman"/>
          <w:sz w:val="24"/>
          <w:szCs w:val="24"/>
          <w:lang w:eastAsia="ru-RU"/>
        </w:rPr>
        <w:t>47120</w:t>
      </w:r>
      <w:r w:rsidR="000F6CF5">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300BED">
        <w:rPr>
          <w:rFonts w:ascii="Times New Roman" w:eastAsia="Times New Roman" w:hAnsi="Times New Roman" w:cs="Times New Roman"/>
          <w:sz w:val="24"/>
          <w:szCs w:val="24"/>
          <w:lang w:eastAsia="ru-RU"/>
        </w:rPr>
        <w:t>сорок семь тысяч сто двадцать</w:t>
      </w:r>
      <w:r w:rsidR="008E4849">
        <w:rPr>
          <w:rFonts w:ascii="Times New Roman" w:eastAsia="Times New Roman" w:hAnsi="Times New Roman" w:cs="Times New Roman"/>
          <w:sz w:val="24"/>
          <w:szCs w:val="24"/>
          <w:lang w:eastAsia="ru-RU"/>
        </w:rPr>
        <w:t>) рубл</w:t>
      </w:r>
      <w:r w:rsidR="00300BED">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063232"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w:t>
      </w:r>
      <w:r w:rsidR="000F6CF5">
        <w:rPr>
          <w:rFonts w:ascii="Times New Roman" w:eastAsia="Times New Roman" w:hAnsi="Times New Roman" w:cs="Times New Roman"/>
          <w:sz w:val="24"/>
          <w:szCs w:val="24"/>
          <w:lang w:eastAsia="ru-RU"/>
        </w:rPr>
        <w:t>кадастровый номер 02:51:</w:t>
      </w:r>
      <w:r w:rsidR="00063232">
        <w:rPr>
          <w:rFonts w:ascii="Times New Roman" w:eastAsia="Times New Roman" w:hAnsi="Times New Roman" w:cs="Times New Roman"/>
          <w:sz w:val="24"/>
          <w:szCs w:val="24"/>
          <w:lang w:eastAsia="ru-RU"/>
        </w:rPr>
        <w:t>020701:129</w:t>
      </w:r>
      <w:r w:rsidR="000F6CF5">
        <w:rPr>
          <w:rFonts w:ascii="Times New Roman" w:eastAsia="Times New Roman" w:hAnsi="Times New Roman" w:cs="Times New Roman"/>
          <w:sz w:val="24"/>
          <w:szCs w:val="24"/>
          <w:lang w:eastAsia="ru-RU"/>
        </w:rPr>
        <w:t xml:space="preserve">/1, площадь </w:t>
      </w:r>
      <w:r w:rsidR="00063232">
        <w:rPr>
          <w:rFonts w:ascii="Times New Roman" w:eastAsia="Times New Roman" w:hAnsi="Times New Roman" w:cs="Times New Roman"/>
          <w:sz w:val="24"/>
          <w:szCs w:val="24"/>
          <w:lang w:eastAsia="ru-RU"/>
        </w:rPr>
        <w:t>2181</w:t>
      </w:r>
      <w:r w:rsidR="000F6CF5">
        <w:rPr>
          <w:rFonts w:ascii="Times New Roman" w:eastAsia="Times New Roman" w:hAnsi="Times New Roman" w:cs="Times New Roman"/>
          <w:sz w:val="24"/>
          <w:szCs w:val="24"/>
          <w:lang w:eastAsia="ru-RU"/>
        </w:rPr>
        <w:t xml:space="preserve"> </w:t>
      </w:r>
      <w:proofErr w:type="spellStart"/>
      <w:r w:rsidR="000F6CF5">
        <w:rPr>
          <w:rFonts w:ascii="Times New Roman" w:eastAsia="Times New Roman" w:hAnsi="Times New Roman" w:cs="Times New Roman"/>
          <w:sz w:val="24"/>
          <w:szCs w:val="24"/>
          <w:lang w:eastAsia="ru-RU"/>
        </w:rPr>
        <w:t>кв.м</w:t>
      </w:r>
      <w:proofErr w:type="spellEnd"/>
      <w:r w:rsidR="000F6CF5">
        <w:rPr>
          <w:rFonts w:ascii="Times New Roman" w:eastAsia="Times New Roman" w:hAnsi="Times New Roman" w:cs="Times New Roman"/>
          <w:sz w:val="24"/>
          <w:szCs w:val="24"/>
          <w:lang w:eastAsia="ru-RU"/>
        </w:rPr>
        <w:t xml:space="preserve">., ограничения прав на земельный участок, предусмотренные </w:t>
      </w:r>
      <w:proofErr w:type="spellStart"/>
      <w:r w:rsidR="000F6CF5">
        <w:rPr>
          <w:rFonts w:ascii="Times New Roman" w:eastAsia="Times New Roman" w:hAnsi="Times New Roman" w:cs="Times New Roman"/>
          <w:sz w:val="24"/>
          <w:szCs w:val="24"/>
          <w:lang w:eastAsia="ru-RU"/>
        </w:rPr>
        <w:t>ст.ст</w:t>
      </w:r>
      <w:proofErr w:type="spellEnd"/>
      <w:r w:rsidR="000F6CF5">
        <w:rPr>
          <w:rFonts w:ascii="Times New Roman" w:eastAsia="Times New Roman" w:hAnsi="Times New Roman" w:cs="Times New Roman"/>
          <w:sz w:val="24"/>
          <w:szCs w:val="24"/>
          <w:lang w:eastAsia="ru-RU"/>
        </w:rPr>
        <w:t>. 56,56.1 ЗК РФ</w:t>
      </w:r>
      <w:r w:rsidR="00063232">
        <w:rPr>
          <w:rFonts w:ascii="Times New Roman" w:eastAsia="Times New Roman" w:hAnsi="Times New Roman" w:cs="Times New Roman"/>
          <w:sz w:val="24"/>
          <w:szCs w:val="24"/>
          <w:lang w:eastAsia="ru-RU"/>
        </w:rPr>
        <w:t>;</w:t>
      </w:r>
    </w:p>
    <w:p w:rsidR="007341BB" w:rsidRPr="007341BB" w:rsidRDefault="00063232" w:rsidP="0006323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кадастровый номер 02:51:020701:129/2, площадь 22649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ограничения прав на земельный участок, предусмотренные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56,56.1 ЗК РФ;</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соответствии с Правилами землепользования и зас</w:t>
      </w:r>
      <w:bookmarkStart w:id="0" w:name="_GoBack"/>
      <w:bookmarkEnd w:id="0"/>
      <w:r w:rsidRPr="007341BB">
        <w:rPr>
          <w:rFonts w:ascii="Times New Roman" w:eastAsia="Times New Roman" w:hAnsi="Times New Roman" w:cs="Times New Roman"/>
          <w:sz w:val="24"/>
          <w:szCs w:val="24"/>
          <w:lang w:eastAsia="ru-RU"/>
        </w:rPr>
        <w:t xml:space="preserve">тройки сельского поселения </w:t>
      </w:r>
      <w:proofErr w:type="spellStart"/>
      <w:r w:rsidR="00300BED">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w:t>
      </w:r>
      <w:r w:rsidR="00300BED">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063232">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кВт во</w:t>
      </w:r>
      <w:r w:rsidR="000F6CF5">
        <w:rPr>
          <w:rFonts w:ascii="Times New Roman" w:eastAsia="Times New Roman" w:hAnsi="Times New Roman" w:cs="Times New Roman"/>
          <w:sz w:val="24"/>
          <w:szCs w:val="24"/>
          <w:lang w:eastAsia="ru-RU"/>
        </w:rPr>
        <w:t xml:space="preserve">зможно осуществить от </w:t>
      </w:r>
      <w:proofErr w:type="gramStart"/>
      <w:r w:rsidR="000F6CF5">
        <w:rPr>
          <w:rFonts w:ascii="Times New Roman" w:eastAsia="Times New Roman" w:hAnsi="Times New Roman" w:cs="Times New Roman"/>
          <w:sz w:val="24"/>
          <w:szCs w:val="24"/>
          <w:lang w:eastAsia="ru-RU"/>
        </w:rPr>
        <w:t>ВЛ</w:t>
      </w:r>
      <w:proofErr w:type="gramEnd"/>
      <w:r w:rsidR="000F6CF5">
        <w:rPr>
          <w:rFonts w:ascii="Times New Roman" w:eastAsia="Times New Roman" w:hAnsi="Times New Roman" w:cs="Times New Roman"/>
          <w:sz w:val="24"/>
          <w:szCs w:val="24"/>
          <w:lang w:eastAsia="ru-RU"/>
        </w:rPr>
        <w:t xml:space="preserve"> 0,</w:t>
      </w:r>
      <w:r w:rsidR="00063232">
        <w:rPr>
          <w:rFonts w:ascii="Times New Roman" w:eastAsia="Times New Roman" w:hAnsi="Times New Roman" w:cs="Times New Roman"/>
          <w:sz w:val="24"/>
          <w:szCs w:val="24"/>
          <w:lang w:eastAsia="ru-RU"/>
        </w:rPr>
        <w:t>4</w:t>
      </w:r>
      <w:r w:rsidR="000F6CF5">
        <w:rPr>
          <w:rFonts w:ascii="Times New Roman" w:eastAsia="Times New Roman" w:hAnsi="Times New Roman" w:cs="Times New Roman"/>
          <w:sz w:val="24"/>
          <w:szCs w:val="24"/>
          <w:lang w:eastAsia="ru-RU"/>
        </w:rPr>
        <w:t xml:space="preserve"> </w:t>
      </w:r>
      <w:proofErr w:type="spellStart"/>
      <w:r w:rsidR="000F6CF5">
        <w:rPr>
          <w:rFonts w:ascii="Times New Roman" w:eastAsia="Times New Roman" w:hAnsi="Times New Roman" w:cs="Times New Roman"/>
          <w:sz w:val="24"/>
          <w:szCs w:val="24"/>
          <w:lang w:eastAsia="ru-RU"/>
        </w:rPr>
        <w:t>кВ</w:t>
      </w:r>
      <w:proofErr w:type="spellEnd"/>
      <w:r w:rsidR="000F6CF5">
        <w:rPr>
          <w:rFonts w:ascii="Times New Roman" w:eastAsia="Times New Roman" w:hAnsi="Times New Roman" w:cs="Times New Roman"/>
          <w:sz w:val="24"/>
          <w:szCs w:val="24"/>
          <w:lang w:eastAsia="ru-RU"/>
        </w:rPr>
        <w:t xml:space="preserve">, </w:t>
      </w:r>
      <w:r w:rsidR="00063232">
        <w:rPr>
          <w:rFonts w:ascii="Times New Roman" w:eastAsia="Times New Roman" w:hAnsi="Times New Roman" w:cs="Times New Roman"/>
          <w:sz w:val="24"/>
          <w:szCs w:val="24"/>
          <w:lang w:eastAsia="ru-RU"/>
        </w:rPr>
        <w:t xml:space="preserve">от ТП-7012,7397 </w:t>
      </w:r>
      <w:proofErr w:type="spellStart"/>
      <w:r w:rsidR="00063232">
        <w:rPr>
          <w:rFonts w:ascii="Times New Roman" w:eastAsia="Times New Roman" w:hAnsi="Times New Roman" w:cs="Times New Roman"/>
          <w:sz w:val="24"/>
          <w:szCs w:val="24"/>
          <w:lang w:eastAsia="ru-RU"/>
        </w:rPr>
        <w:t>н.п</w:t>
      </w:r>
      <w:proofErr w:type="spellEnd"/>
      <w:r w:rsidR="00063232">
        <w:rPr>
          <w:rFonts w:ascii="Times New Roman" w:eastAsia="Times New Roman" w:hAnsi="Times New Roman" w:cs="Times New Roman"/>
          <w:sz w:val="24"/>
          <w:szCs w:val="24"/>
          <w:lang w:eastAsia="ru-RU"/>
        </w:rPr>
        <w:t>. Каргал</w:t>
      </w:r>
      <w:proofErr w:type="gramStart"/>
      <w:r w:rsidR="00063232">
        <w:rPr>
          <w:rFonts w:ascii="Times New Roman" w:eastAsia="Times New Roman" w:hAnsi="Times New Roman" w:cs="Times New Roman"/>
          <w:sz w:val="24"/>
          <w:szCs w:val="24"/>
          <w:lang w:eastAsia="ru-RU"/>
        </w:rPr>
        <w:t>ы ООО</w:t>
      </w:r>
      <w:proofErr w:type="gramEnd"/>
      <w:r w:rsidR="00063232">
        <w:rPr>
          <w:rFonts w:ascii="Times New Roman" w:eastAsia="Times New Roman" w:hAnsi="Times New Roman" w:cs="Times New Roman"/>
          <w:sz w:val="24"/>
          <w:szCs w:val="24"/>
          <w:lang w:eastAsia="ru-RU"/>
        </w:rPr>
        <w:t xml:space="preserve"> «Башкирэнерго»</w:t>
      </w:r>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w:t>
      </w:r>
      <w:r w:rsidRPr="007341BB">
        <w:rPr>
          <w:rFonts w:ascii="Times New Roman" w:eastAsia="Times New Roman" w:hAnsi="Times New Roman" w:cs="Times New Roman"/>
          <w:sz w:val="24"/>
          <w:szCs w:val="24"/>
          <w:lang w:eastAsia="ru-RU"/>
        </w:rPr>
        <w:lastRenderedPageBreak/>
        <w:t xml:space="preserve">менее 15 кВт определяется на основании Постановления Государственного комитета Республики Башкортостан по тарифам №862 от 26.12.18г.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w:t>
      </w:r>
      <w:r w:rsidR="001144E3">
        <w:rPr>
          <w:rFonts w:ascii="Times New Roman" w:eastAsia="Times New Roman" w:hAnsi="Times New Roman" w:cs="Times New Roman"/>
          <w:b/>
          <w:sz w:val="24"/>
          <w:szCs w:val="24"/>
          <w:lang w:eastAsia="ru-RU"/>
        </w:rPr>
        <w:t>4</w:t>
      </w:r>
      <w:r w:rsidRPr="006041F2">
        <w:rPr>
          <w:rFonts w:ascii="Times New Roman" w:eastAsia="Times New Roman" w:hAnsi="Times New Roman" w:cs="Times New Roman"/>
          <w:b/>
          <w:sz w:val="24"/>
          <w:szCs w:val="24"/>
          <w:lang w:eastAsia="ru-RU"/>
        </w:rPr>
        <w:t xml:space="preserve"> </w:t>
      </w:r>
      <w:r w:rsidR="001144E3">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1144E3">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232"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1144E3">
        <w:rPr>
          <w:rFonts w:ascii="Times New Roman" w:eastAsia="Times New Roman" w:hAnsi="Times New Roman" w:cs="Times New Roman"/>
          <w:b/>
          <w:sz w:val="24"/>
          <w:szCs w:val="24"/>
          <w:lang w:eastAsia="ru-RU"/>
        </w:rPr>
        <w:t>5</w:t>
      </w:r>
      <w:r w:rsidR="007341BB" w:rsidRPr="00270627">
        <w:rPr>
          <w:rFonts w:ascii="Times New Roman" w:eastAsia="Times New Roman" w:hAnsi="Times New Roman" w:cs="Times New Roman"/>
          <w:b/>
          <w:sz w:val="24"/>
          <w:szCs w:val="24"/>
          <w:lang w:eastAsia="ru-RU"/>
        </w:rPr>
        <w:t xml:space="preserve"> </w:t>
      </w:r>
      <w:r w:rsidR="001144E3">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sidR="001144E3">
        <w:rPr>
          <w:rFonts w:ascii="Times New Roman" w:eastAsia="Times New Roman" w:hAnsi="Times New Roman" w:cs="Times New Roman"/>
          <w:b/>
          <w:sz w:val="24"/>
          <w:szCs w:val="24"/>
          <w:lang w:eastAsia="ru-RU"/>
        </w:rPr>
        <w:t>1 года 15</w:t>
      </w:r>
      <w:r w:rsidR="007341BB" w:rsidRPr="00270627">
        <w:rPr>
          <w:rFonts w:ascii="Times New Roman" w:eastAsia="Times New Roman" w:hAnsi="Times New Roman" w:cs="Times New Roman"/>
          <w:b/>
          <w:sz w:val="24"/>
          <w:szCs w:val="24"/>
          <w:lang w:eastAsia="ru-RU"/>
        </w:rPr>
        <w:t>.00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1144E3">
        <w:rPr>
          <w:rFonts w:ascii="Times New Roman" w:eastAsia="Times New Roman" w:hAnsi="Times New Roman" w:cs="Times New Roman"/>
          <w:sz w:val="24"/>
          <w:szCs w:val="24"/>
          <w:lang w:eastAsia="ru-RU"/>
        </w:rPr>
        <w:t xml:space="preserve">19 </w:t>
      </w:r>
      <w:r w:rsidR="001144E3">
        <w:rPr>
          <w:rFonts w:ascii="Times New Roman" w:eastAsia="Times New Roman" w:hAnsi="Times New Roman" w:cs="Times New Roman"/>
          <w:b/>
          <w:sz w:val="24"/>
          <w:szCs w:val="24"/>
          <w:lang w:eastAsia="ru-RU"/>
        </w:rPr>
        <w:t xml:space="preserve">января </w:t>
      </w:r>
      <w:r w:rsidRPr="00270627">
        <w:rPr>
          <w:rFonts w:ascii="Times New Roman" w:eastAsia="Times New Roman" w:hAnsi="Times New Roman" w:cs="Times New Roman"/>
          <w:b/>
          <w:sz w:val="24"/>
          <w:szCs w:val="24"/>
          <w:lang w:eastAsia="ru-RU"/>
        </w:rPr>
        <w:t xml:space="preserve"> 202</w:t>
      </w:r>
      <w:r w:rsidR="001144E3">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w:t>
      </w:r>
      <w:r w:rsidRPr="007341BB">
        <w:rPr>
          <w:rFonts w:ascii="Times New Roman" w:eastAsia="Times New Roman" w:hAnsi="Times New Roman" w:cs="Times New Roman"/>
          <w:sz w:val="24"/>
          <w:szCs w:val="24"/>
          <w:lang w:eastAsia="ru-RU"/>
        </w:rPr>
        <w:lastRenderedPageBreak/>
        <w:t>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232">
        <w:rPr>
          <w:rFonts w:ascii="Times New Roman" w:eastAsia="Times New Roman" w:hAnsi="Times New Roman" w:cs="Times New Roman"/>
          <w:sz w:val="24"/>
          <w:szCs w:val="24"/>
          <w:lang w:eastAsia="ru-RU"/>
        </w:rPr>
        <w:t>15</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063232">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Башкор</w:t>
      </w:r>
      <w:r w:rsidR="00063232">
        <w:rPr>
          <w:rFonts w:ascii="Times New Roman" w:eastAsia="Times New Roman" w:hAnsi="Times New Roman" w:cs="Times New Roman"/>
          <w:sz w:val="24"/>
          <w:szCs w:val="24"/>
          <w:lang w:eastAsia="ru-RU"/>
        </w:rPr>
        <w:t>то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58" w:rsidRDefault="00EC1758" w:rsidP="0020286E">
      <w:pPr>
        <w:spacing w:after="0" w:line="240" w:lineRule="auto"/>
      </w:pPr>
      <w:r>
        <w:separator/>
      </w:r>
    </w:p>
  </w:endnote>
  <w:endnote w:type="continuationSeparator" w:id="0">
    <w:p w:rsidR="00EC1758" w:rsidRDefault="00EC1758"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58" w:rsidRDefault="00EC1758" w:rsidP="0020286E">
      <w:pPr>
        <w:spacing w:after="0" w:line="240" w:lineRule="auto"/>
      </w:pPr>
      <w:r>
        <w:separator/>
      </w:r>
    </w:p>
  </w:footnote>
  <w:footnote w:type="continuationSeparator" w:id="0">
    <w:p w:rsidR="00EC1758" w:rsidRDefault="00EC1758" w:rsidP="0020286E">
      <w:pPr>
        <w:spacing w:after="0" w:line="240" w:lineRule="auto"/>
      </w:pPr>
      <w:r>
        <w:continuationSeparator/>
      </w:r>
    </w:p>
  </w:footnote>
  <w:footnote w:id="1">
    <w:p w:rsidR="001144E3" w:rsidRPr="002E5D78" w:rsidRDefault="001144E3"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1144E3" w:rsidRPr="00FC24C1" w:rsidRDefault="001144E3"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1144E3" w:rsidRPr="006273DB" w:rsidRDefault="001144E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1144E3" w:rsidRPr="006273DB" w:rsidRDefault="001144E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1144E3" w:rsidRPr="00E11457" w:rsidRDefault="001144E3"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1144E3" w:rsidRPr="00267658" w:rsidRDefault="001144E3"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1144E3" w:rsidRPr="00772F8A" w:rsidRDefault="001144E3"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63232"/>
    <w:rsid w:val="00081B11"/>
    <w:rsid w:val="00082AEE"/>
    <w:rsid w:val="000C252A"/>
    <w:rsid w:val="000D4D5E"/>
    <w:rsid w:val="000E68D2"/>
    <w:rsid w:val="000F6CF5"/>
    <w:rsid w:val="001144E3"/>
    <w:rsid w:val="00122AE8"/>
    <w:rsid w:val="0013122F"/>
    <w:rsid w:val="001655AD"/>
    <w:rsid w:val="001A1929"/>
    <w:rsid w:val="0020286E"/>
    <w:rsid w:val="002078E5"/>
    <w:rsid w:val="00215DE5"/>
    <w:rsid w:val="00222AFF"/>
    <w:rsid w:val="0024740F"/>
    <w:rsid w:val="00247958"/>
    <w:rsid w:val="00267174"/>
    <w:rsid w:val="00270627"/>
    <w:rsid w:val="00275D08"/>
    <w:rsid w:val="00295713"/>
    <w:rsid w:val="002979D1"/>
    <w:rsid w:val="002B37A9"/>
    <w:rsid w:val="002C7033"/>
    <w:rsid w:val="002D1F4B"/>
    <w:rsid w:val="002D2E65"/>
    <w:rsid w:val="002D521A"/>
    <w:rsid w:val="00300BED"/>
    <w:rsid w:val="00306841"/>
    <w:rsid w:val="00333587"/>
    <w:rsid w:val="003B401C"/>
    <w:rsid w:val="003B69C1"/>
    <w:rsid w:val="003C7D5E"/>
    <w:rsid w:val="00405242"/>
    <w:rsid w:val="0043211D"/>
    <w:rsid w:val="0045524A"/>
    <w:rsid w:val="00461BD9"/>
    <w:rsid w:val="004D3AF6"/>
    <w:rsid w:val="004E7ED2"/>
    <w:rsid w:val="00547424"/>
    <w:rsid w:val="00575126"/>
    <w:rsid w:val="00580290"/>
    <w:rsid w:val="00580F88"/>
    <w:rsid w:val="005E70D4"/>
    <w:rsid w:val="006041F2"/>
    <w:rsid w:val="006062FC"/>
    <w:rsid w:val="0060713E"/>
    <w:rsid w:val="00667015"/>
    <w:rsid w:val="00683C11"/>
    <w:rsid w:val="006A328E"/>
    <w:rsid w:val="006F393E"/>
    <w:rsid w:val="00730777"/>
    <w:rsid w:val="007341BB"/>
    <w:rsid w:val="00734761"/>
    <w:rsid w:val="00737663"/>
    <w:rsid w:val="00747E16"/>
    <w:rsid w:val="00755701"/>
    <w:rsid w:val="00797457"/>
    <w:rsid w:val="007F006B"/>
    <w:rsid w:val="008631C2"/>
    <w:rsid w:val="008817FE"/>
    <w:rsid w:val="00894213"/>
    <w:rsid w:val="008E4849"/>
    <w:rsid w:val="0098430F"/>
    <w:rsid w:val="00997C68"/>
    <w:rsid w:val="009F602B"/>
    <w:rsid w:val="00A140C9"/>
    <w:rsid w:val="00A1595C"/>
    <w:rsid w:val="00A245EE"/>
    <w:rsid w:val="00A861E7"/>
    <w:rsid w:val="00A870D9"/>
    <w:rsid w:val="00AA1125"/>
    <w:rsid w:val="00AC5AB4"/>
    <w:rsid w:val="00B07B1E"/>
    <w:rsid w:val="00B24DF1"/>
    <w:rsid w:val="00B42F0D"/>
    <w:rsid w:val="00BA0131"/>
    <w:rsid w:val="00BA62F5"/>
    <w:rsid w:val="00BB41FA"/>
    <w:rsid w:val="00BF43D4"/>
    <w:rsid w:val="00C2681E"/>
    <w:rsid w:val="00C41B2B"/>
    <w:rsid w:val="00C61AD5"/>
    <w:rsid w:val="00CA7C59"/>
    <w:rsid w:val="00CE76BA"/>
    <w:rsid w:val="00CF47A2"/>
    <w:rsid w:val="00D70EC7"/>
    <w:rsid w:val="00D92559"/>
    <w:rsid w:val="00DA7281"/>
    <w:rsid w:val="00E159EF"/>
    <w:rsid w:val="00E3405A"/>
    <w:rsid w:val="00E37656"/>
    <w:rsid w:val="00E94284"/>
    <w:rsid w:val="00EC1758"/>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8B34-E9BA-451B-9587-91EACC46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6958</Words>
  <Characters>39666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3</cp:revision>
  <cp:lastPrinted>2019-09-12T05:07:00Z</cp:lastPrinted>
  <dcterms:created xsi:type="dcterms:W3CDTF">2020-12-17T07:41:00Z</dcterms:created>
  <dcterms:modified xsi:type="dcterms:W3CDTF">2020-12-18T05:11:00Z</dcterms:modified>
</cp:coreProperties>
</file>