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 Республики Башкортостан </w:t>
      </w:r>
      <w:r w:rsidR="0066511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</w:t>
      </w:r>
      <w:r w:rsidR="00BC6EA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9</w:t>
      </w:r>
      <w:r w:rsidR="0066511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апреля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A1B3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 11.</w:t>
      </w:r>
      <w:r w:rsidR="00BC6EA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</w:t>
      </w:r>
      <w:proofErr w:type="gram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аукциона-Комитет</w:t>
      </w:r>
      <w:proofErr w:type="gram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1B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C875D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5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Мест</w:t>
      </w:r>
      <w:r w:rsidR="00C875DA">
        <w:rPr>
          <w:rFonts w:ascii="PT Sans" w:eastAsia="Times New Roman" w:hAnsi="PT Sans" w:cs="Times New Roman"/>
          <w:sz w:val="24"/>
          <w:szCs w:val="24"/>
          <w:lang w:eastAsia="ru-RU"/>
        </w:rPr>
        <w:t>оположение земельного участка:</w:t>
      </w:r>
      <w:r w:rsidR="003050C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proofErr w:type="spellStart"/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Тузлукушевский</w:t>
      </w:r>
      <w:proofErr w:type="spell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Тузлукушево</w:t>
      </w:r>
      <w:proofErr w:type="spell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олодежная</w:t>
      </w:r>
      <w:proofErr w:type="gram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0524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050301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501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площадь 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1901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кв. м., разрешенное использование: </w:t>
      </w:r>
      <w:r w:rsidR="000F7D4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</w:t>
      </w:r>
      <w:r w:rsidR="00BC6EA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индивидуального жилищного строительства,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категория земель: земли 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населенных пунктов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тьсот</w:t>
      </w:r>
      <w:r w:rsidR="00C8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один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0353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восемь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r w:rsidR="00575126">
        <w:rPr>
          <w:rFonts w:ascii="PT Sans" w:eastAsia="Times New Roman" w:hAnsi="PT Sans" w:cs="Times New Roman"/>
          <w:sz w:val="24"/>
          <w:szCs w:val="24"/>
          <w:lang w:eastAsia="ru-RU"/>
        </w:rPr>
        <w:t>95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% начальной цены Предмета аукциона) – </w:t>
      </w:r>
      <w:r w:rsidR="00841E4C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841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</w:t>
      </w:r>
      <w:r w:rsidR="0003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сорок четыре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r w:rsidR="00C36381">
        <w:rPr>
          <w:rFonts w:ascii="PT Sans" w:eastAsia="Times New Roman" w:hAnsi="PT Sans" w:cs="Times New Roman"/>
          <w:sz w:val="24"/>
          <w:szCs w:val="24"/>
          <w:lang w:eastAsia="ru-RU"/>
        </w:rPr>
        <w:t>2</w:t>
      </w:r>
      <w:r w:rsidR="00C2681E">
        <w:rPr>
          <w:rFonts w:ascii="PT Sans" w:eastAsia="Times New Roman" w:hAnsi="PT Sans" w:cs="Times New Roman"/>
          <w:sz w:val="24"/>
          <w:szCs w:val="24"/>
          <w:lang w:eastAsia="ru-RU"/>
        </w:rPr>
        <w:t>0</w:t>
      </w:r>
      <w:r w:rsidR="00542B4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(двадцать)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лет.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DD1A58" w:rsidRPr="00DD1A58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0824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Тузлукушевский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Башкортостан «21» декабря 2016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24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674" w:rsidRPr="0020286E" w:rsidRDefault="005D1674" w:rsidP="005D1674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 подключении. Плата за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Ориентировочная стоимость подключения (технологического присоединения) (строительство и подключение газопровода до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границы земельного участка объекта капитального строительства) составит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proofErr w:type="gramStart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</w:t>
      </w:r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proofErr w:type="spellStart"/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Тузлукушевский</w:t>
      </w:r>
      <w:proofErr w:type="spell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Тузлукушево</w:t>
      </w:r>
      <w:proofErr w:type="spell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подключение к газоснабжению в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озможна</w:t>
      </w:r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точка подключения на уличном газопроводе низкого давления 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</w:t>
      </w:r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мм по ул. М</w:t>
      </w:r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674" w:rsidRPr="002131B2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Водоснабжение.</w:t>
      </w:r>
    </w:p>
    <w:p w:rsidR="005D1674" w:rsidRPr="002131B2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информацию-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СП </w:t>
      </w:r>
      <w:proofErr w:type="spellStart"/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Тузлукушевский</w:t>
      </w:r>
      <w:proofErr w:type="spell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Pr="00213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296" w:rsidRDefault="005D1674" w:rsidP="00A4738C">
      <w:pPr>
        <w:spacing w:after="5" w:line="248" w:lineRule="auto"/>
        <w:ind w:left="127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расположенный по адресу: </w:t>
      </w:r>
      <w:proofErr w:type="spellStart"/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д. </w:t>
      </w:r>
      <w:proofErr w:type="spellStart"/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Тузлукушево</w:t>
      </w:r>
      <w:proofErr w:type="spellEnd"/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Молодежная, дом 40 не подключен к центральному водопроводу, </w:t>
      </w:r>
      <w:proofErr w:type="gramStart"/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</w:t>
      </w:r>
      <w:proofErr w:type="gramEnd"/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подключить по улице Молодежная д 110мм.</w:t>
      </w:r>
    </w:p>
    <w:p w:rsidR="005D1674" w:rsidRPr="0020286E" w:rsidRDefault="005D1674" w:rsidP="00A4738C">
      <w:pPr>
        <w:spacing w:after="5" w:line="248" w:lineRule="auto"/>
        <w:ind w:left="127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с.</w:t>
      </w:r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Тузлукушево</w:t>
      </w:r>
      <w:proofErr w:type="spellEnd"/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водоснабжение осуществляется без взимания платы.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674" w:rsidRPr="0020286E" w:rsidRDefault="005D1674" w:rsidP="005D1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0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«Октябрьские электрические сети"</w:t>
      </w:r>
      <w:r w:rsidR="00A4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ООО «Башкирэнерго».</w:t>
      </w:r>
    </w:p>
    <w:p w:rsidR="005D1674" w:rsidRDefault="005D1674" w:rsidP="005D1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19D">
        <w:rPr>
          <w:rFonts w:ascii="Times New Roman" w:eastAsia="Times New Roman" w:hAnsi="Times New Roman" w:cs="Times New Roman"/>
          <w:sz w:val="24"/>
          <w:szCs w:val="24"/>
          <w:lang w:eastAsia="ru-RU"/>
        </w:rPr>
        <w:t>Л-2-1-1/7553</w:t>
      </w:r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ТП-</w:t>
      </w:r>
      <w:r w:rsidR="002761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>/0,4кВ 7</w:t>
      </w:r>
      <w:r w:rsidR="002761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>53фид.7</w:t>
      </w:r>
      <w:r w:rsidR="0027619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619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ПС35/</w:t>
      </w:r>
      <w:r w:rsidR="002761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7619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Сыерыш</w:t>
      </w:r>
      <w:proofErr w:type="spellEnd"/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свободная мощность к отпуску составляет 15кВт. Срок подключения 4 месяцев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</w:p>
    <w:p w:rsidR="00A4738C" w:rsidRDefault="00A4738C" w:rsidP="005D1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Дополнительную информацию можно получить в ПО «ОЭС» ООО «Башкирэнерго».</w:t>
      </w:r>
    </w:p>
    <w:p w:rsidR="00A4738C" w:rsidRPr="0020286E" w:rsidRDefault="00A4738C" w:rsidP="005D16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Централизованной системы водоотведения не имеется.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9843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306841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="0020286E"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20286E" w:rsidRPr="0020286E" w:rsidRDefault="0020286E" w:rsidP="00F33D5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Приём заявок на участие в аукционе буде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 проводиться по рабочим дням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по </w:t>
      </w:r>
      <w:r w:rsidR="0027619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24</w:t>
      </w:r>
      <w:r w:rsidR="00C61AD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апреля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включительно с 9 часов 00 минут до 1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 00 минут </w:t>
      </w:r>
      <w:r w:rsidR="00BB41F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(местное время)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Республика Башкортостан, </w:t>
      </w:r>
      <w:proofErr w:type="spellStart"/>
      <w:r w:rsidR="005F14CD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="005F14C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район, </w:t>
      </w:r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F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Чекмагуш, ул. Ленина, д.53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27619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27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апреля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</w:t>
      </w:r>
      <w:r w:rsidR="006A328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09</w:t>
      </w:r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.00 час</w:t>
      </w:r>
      <w:proofErr w:type="gramStart"/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</w:t>
      </w:r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(</w:t>
      </w:r>
      <w:proofErr w:type="gramEnd"/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местное время)</w:t>
      </w:r>
      <w:r w:rsidR="00FD72E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по адресу: с. Чекмагуш, ул. Ленина, д.55,</w:t>
      </w:r>
      <w:r w:rsidR="00997C6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актовый зал.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2)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27619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29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апреля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20286E" w:rsidRPr="00BA62F5" w:rsidRDefault="0020286E" w:rsidP="00BA62F5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Ознакомление с аукционной документацией осуществляется в Комитете по управлению собственностью Министерства земельных и иму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>щественных отношений Р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Б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району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по </w:t>
      </w:r>
      <w:r w:rsidR="0029181C">
        <w:rPr>
          <w:rFonts w:ascii="PT Sans" w:eastAsia="Times New Roman" w:hAnsi="PT Sans" w:cs="Times New Roman"/>
          <w:bCs/>
          <w:sz w:val="24"/>
          <w:szCs w:val="24"/>
          <w:lang w:eastAsia="ru-RU"/>
        </w:rPr>
        <w:t>2</w:t>
      </w:r>
      <w:r w:rsidR="0027619D">
        <w:rPr>
          <w:rFonts w:ascii="PT Sans" w:eastAsia="Times New Roman" w:hAnsi="PT Sans" w:cs="Times New Roman"/>
          <w:bCs/>
          <w:sz w:val="24"/>
          <w:szCs w:val="24"/>
          <w:lang w:eastAsia="ru-RU"/>
        </w:rPr>
        <w:t>4</w:t>
      </w:r>
      <w:r w:rsidR="0029181C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апреля</w:t>
      </w:r>
      <w:r w:rsidR="00F41AEF"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Cs/>
          <w:sz w:val="24"/>
          <w:szCs w:val="24"/>
          <w:lang w:eastAsia="ru-RU"/>
        </w:rPr>
        <w:t>20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года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>по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рабочим дням с 09 ч. 00 мин. до 13 ч. 00 мин. и с 14 ч. 00мин. до 1</w:t>
      </w:r>
      <w:r w:rsidR="0029181C">
        <w:rPr>
          <w:rFonts w:ascii="PT Sans" w:eastAsia="Times New Roman" w:hAnsi="PT Sans" w:cs="Times New Roman"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ч. 00 мин. по адрес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у: с.</w:t>
      </w:r>
      <w:r w:rsidR="0027619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Чекмагуш, ул.</w:t>
      </w:r>
      <w:r w:rsidR="0027619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Ленина, дом 53,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3C66E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каб.18,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тел. 3-18-06.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Дата и время осмотра земельных участков согласовывается с заявителем.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9" w:history="1"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bashkortostan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eastAsia="ru-RU"/>
          </w:rPr>
          <w:t>.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="002761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0" w:name="_GoBack"/>
      <w:bookmarkEnd w:id="0"/>
      <w:r w:rsidR="0027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узлукушевский</w:t>
      </w:r>
      <w:proofErr w:type="spellEnd"/>
      <w:r w:rsidR="0027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9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5E33">
        <w:rPr>
          <w:rFonts w:ascii="PT Sans" w:eastAsia="Times New Roman" w:hAnsi="PT Sans" w:cs="Times New Roman"/>
          <w:sz w:val="24"/>
          <w:szCs w:val="24"/>
          <w:lang w:eastAsia="ru-RU"/>
        </w:rPr>
        <w:t>официальном</w:t>
      </w:r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="00F41AEF" w:rsidRPr="00BA62F5">
          <w:rPr>
            <w:rStyle w:val="a6"/>
            <w:rFonts w:ascii="PT Sans" w:eastAsia="Times New Roman" w:hAnsi="PT Sans" w:cs="Times New Roman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color w:val="7F7F7F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</w:t>
      </w:r>
      <w:r w:rsidRPr="0020286E">
        <w:rPr>
          <w:rFonts w:ascii="Times New Roman" w:hAnsi="Times New Roman" w:cs="Times New Roman"/>
          <w:sz w:val="24"/>
          <w:szCs w:val="24"/>
        </w:rPr>
        <w:lastRenderedPageBreak/>
        <w:t>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  <w:proofErr w:type="gramEnd"/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Заявка принята в «______» час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Арендная плата </w:t>
      </w:r>
      <w:r w:rsidR="00797457">
        <w:rPr>
          <w:rFonts w:ascii="Times New Roman" w:hAnsi="Times New Roman" w:cs="Times New Roman"/>
          <w:sz w:val="20"/>
          <w:szCs w:val="20"/>
        </w:rPr>
        <w:t xml:space="preserve"> вносится один раз в го</w:t>
      </w:r>
      <w:proofErr w:type="gramStart"/>
      <w:r w:rsidR="00797457"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797457">
        <w:rPr>
          <w:rFonts w:ascii="Times New Roman" w:hAnsi="Times New Roman" w:cs="Times New Roman"/>
          <w:sz w:val="20"/>
          <w:szCs w:val="20"/>
        </w:rPr>
        <w:t>25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декабря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текущего года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Участок передан в состоянии, пригодном для его использования в соответствии с целевым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CC4931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31" w:rsidRDefault="00CC4931" w:rsidP="0020286E">
      <w:pPr>
        <w:spacing w:after="0" w:line="240" w:lineRule="auto"/>
      </w:pPr>
      <w:r>
        <w:separator/>
      </w:r>
    </w:p>
  </w:endnote>
  <w:endnote w:type="continuationSeparator" w:id="0">
    <w:p w:rsidR="00CC4931" w:rsidRDefault="00CC4931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31" w:rsidRDefault="00CC4931" w:rsidP="0020286E">
      <w:pPr>
        <w:spacing w:after="0" w:line="240" w:lineRule="auto"/>
      </w:pPr>
      <w:r>
        <w:separator/>
      </w:r>
    </w:p>
  </w:footnote>
  <w:footnote w:type="continuationSeparator" w:id="0">
    <w:p w:rsidR="00CC4931" w:rsidRDefault="00CC4931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30D38"/>
    <w:rsid w:val="00035324"/>
    <w:rsid w:val="00040740"/>
    <w:rsid w:val="000824CF"/>
    <w:rsid w:val="00082AEE"/>
    <w:rsid w:val="000E68D2"/>
    <w:rsid w:val="000F35C8"/>
    <w:rsid w:val="000F7D41"/>
    <w:rsid w:val="001128CD"/>
    <w:rsid w:val="00122AE8"/>
    <w:rsid w:val="0013122F"/>
    <w:rsid w:val="001655AD"/>
    <w:rsid w:val="001A1929"/>
    <w:rsid w:val="001E3E99"/>
    <w:rsid w:val="0020286E"/>
    <w:rsid w:val="00215DE5"/>
    <w:rsid w:val="0024740F"/>
    <w:rsid w:val="00275D08"/>
    <w:rsid w:val="0027619D"/>
    <w:rsid w:val="0029181C"/>
    <w:rsid w:val="002979D1"/>
    <w:rsid w:val="002B37A9"/>
    <w:rsid w:val="002D2E65"/>
    <w:rsid w:val="002D521A"/>
    <w:rsid w:val="002E2587"/>
    <w:rsid w:val="003050C9"/>
    <w:rsid w:val="00306841"/>
    <w:rsid w:val="00333587"/>
    <w:rsid w:val="003A1B3D"/>
    <w:rsid w:val="003C66ED"/>
    <w:rsid w:val="00405242"/>
    <w:rsid w:val="00405B85"/>
    <w:rsid w:val="004143B3"/>
    <w:rsid w:val="0043211D"/>
    <w:rsid w:val="004615AC"/>
    <w:rsid w:val="00473C50"/>
    <w:rsid w:val="004D3AF6"/>
    <w:rsid w:val="00542B41"/>
    <w:rsid w:val="00575126"/>
    <w:rsid w:val="00576AFC"/>
    <w:rsid w:val="00580290"/>
    <w:rsid w:val="00580F88"/>
    <w:rsid w:val="005C7296"/>
    <w:rsid w:val="005D1674"/>
    <w:rsid w:val="005D7E2B"/>
    <w:rsid w:val="005E70D4"/>
    <w:rsid w:val="005F14CD"/>
    <w:rsid w:val="00605B78"/>
    <w:rsid w:val="0060713E"/>
    <w:rsid w:val="006365B3"/>
    <w:rsid w:val="00665117"/>
    <w:rsid w:val="00667015"/>
    <w:rsid w:val="006A328E"/>
    <w:rsid w:val="006F393E"/>
    <w:rsid w:val="00747E16"/>
    <w:rsid w:val="00755701"/>
    <w:rsid w:val="00797457"/>
    <w:rsid w:val="00841E4C"/>
    <w:rsid w:val="008631C2"/>
    <w:rsid w:val="00894213"/>
    <w:rsid w:val="008F5D91"/>
    <w:rsid w:val="0098430F"/>
    <w:rsid w:val="00997C68"/>
    <w:rsid w:val="00A4738C"/>
    <w:rsid w:val="00A861E7"/>
    <w:rsid w:val="00AA1125"/>
    <w:rsid w:val="00B07B1E"/>
    <w:rsid w:val="00B24DF1"/>
    <w:rsid w:val="00B42F0D"/>
    <w:rsid w:val="00B71DB7"/>
    <w:rsid w:val="00B92C98"/>
    <w:rsid w:val="00BA62F5"/>
    <w:rsid w:val="00BB41FA"/>
    <w:rsid w:val="00BC6EAF"/>
    <w:rsid w:val="00BF43D4"/>
    <w:rsid w:val="00C2681E"/>
    <w:rsid w:val="00C36381"/>
    <w:rsid w:val="00C41B2B"/>
    <w:rsid w:val="00C61AD5"/>
    <w:rsid w:val="00C85A0B"/>
    <w:rsid w:val="00C875DA"/>
    <w:rsid w:val="00CA7C59"/>
    <w:rsid w:val="00CC4931"/>
    <w:rsid w:val="00CE76BA"/>
    <w:rsid w:val="00CF47A2"/>
    <w:rsid w:val="00D00315"/>
    <w:rsid w:val="00D92559"/>
    <w:rsid w:val="00D9644F"/>
    <w:rsid w:val="00DA7281"/>
    <w:rsid w:val="00DD1A58"/>
    <w:rsid w:val="00DF72C3"/>
    <w:rsid w:val="00E159EF"/>
    <w:rsid w:val="00E24632"/>
    <w:rsid w:val="00E94284"/>
    <w:rsid w:val="00EC5E33"/>
    <w:rsid w:val="00EF621E"/>
    <w:rsid w:val="00F33D5E"/>
    <w:rsid w:val="00F41AEF"/>
    <w:rsid w:val="00F54BC3"/>
    <w:rsid w:val="00F77FA7"/>
    <w:rsid w:val="00F944BD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533B-6EAE-4719-9AAF-0EACA273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14</Pages>
  <Words>6257</Words>
  <Characters>35670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50</cp:revision>
  <cp:lastPrinted>2019-09-12T05:07:00Z</cp:lastPrinted>
  <dcterms:created xsi:type="dcterms:W3CDTF">2019-02-21T06:59:00Z</dcterms:created>
  <dcterms:modified xsi:type="dcterms:W3CDTF">2020-03-27T07:11:00Z</dcterms:modified>
</cp:coreProperties>
</file>